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§1102. OFFENSIVE NAMES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