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Complaint filed</w:t>
      </w:r>
    </w:p>
    <w:p>
      <w:pPr>
        <w:jc w:val="both"/>
        <w:spacing w:before="100" w:after="100"/>
        <w:ind w:start="360"/>
        <w:ind w:firstLine="360"/>
      </w:pPr>
      <w:r>
        <w:rPr/>
      </w:r>
      <w:r>
        <w:rPr/>
      </w:r>
      <w:r>
        <w:t xml:space="preserve">Any person who believes that a place has an offensive name may file a complaint with the Maine Human Rights Commission. Any such complaint filed with this commission shall be subject to the provisions included in </w:t>
      </w:r>
      <w:r>
        <w:t>Title 5, section 4632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259,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§1103. Complaint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Complaint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§1103. COMPLAINT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