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§146. MAINE WEEK OF HEROES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