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150-D</w:t>
        <w:t xml:space="preserve">.  </w:t>
      </w:r>
      <w:r>
        <w:rPr>
          <w:b/>
        </w:rPr>
        <w:t xml:space="preserve">Wyeth Day</w:t>
      </w:r>
    </w:p>
    <w:p>
      <w:pPr>
        <w:jc w:val="both"/>
        <w:spacing w:before="100" w:after="100"/>
        <w:ind w:start="360"/>
        <w:ind w:firstLine="360"/>
      </w:pPr>
      <w:r>
        <w:rPr/>
      </w:r>
      <w:r>
        <w:rPr/>
      </w:r>
      <w:r>
        <w:t xml:space="preserve">The Governor shall annually issue a proclamation designating July 12th of each year as Wyeth Day in recognition of the birthday of Andrew Wyeth, one of America's great artists.  The observance is created to honor Andrew Wyeth, who had long and lasting ties with this State, and his family and their strong contributions to the State's artistic and cultural heritage and is meant to coincide with appropriate commemorative activities throughout the State.  The Department of Education shall make appropriate information available to the people and the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2009, c. 210,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§150-D. Wyeth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§150-D. Wyeth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§150-D. WYETH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