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150-L</w:t>
        <w:t xml:space="preserve">.  </w:t>
      </w:r>
      <w:r>
        <w:rPr>
          <w:b/>
        </w:rPr>
        <w:t xml:space="preserve">Native American Heritage and Culture Day</w:t>
      </w:r>
    </w:p>
    <w:p>
      <w:pPr>
        <w:jc w:val="both"/>
        <w:spacing w:before="100" w:after="100"/>
        <w:ind w:start="360"/>
        <w:ind w:firstLine="360"/>
      </w:pPr>
      <w:r>
        <w:rPr/>
      </w:r>
      <w:r>
        <w:rPr/>
      </w:r>
      <w:r>
        <w:t xml:space="preserve">In recognition of the service and sacrifice of Maine Indian tribes since the beginning of our nation in support for its liberties, and to recognize the thousands of years of Native American heritage and the culture Maine Indian tribes have contributed to the State, the Governor annually shall issue a proclamation designating March 20th as Native American Heritage and Culture Day,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2015,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§150-L. Native American Heritage and Culture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§150-L. Native American Heritage and Culture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§150-L. NATIVE AMERICAN HERITAGE AND CULTURE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