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Standard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Standard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§151. STANDARD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