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Removal of, injury to, neglect of or refusal to deliver up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§202. REMOVAL OF, INJURY TO, NEGLECT OF OR REFUSAL TO DELIVER UP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