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Use of state seal in any place but office of Secretary of State</w:t>
      </w:r>
    </w:p>
    <w:p>
      <w:pPr>
        <w:jc w:val="both"/>
        <w:spacing w:before="100" w:after="100"/>
        <w:ind w:start="360"/>
        <w:ind w:firstLine="360"/>
      </w:pPr>
      <w:r>
        <w:rPr/>
      </w:r>
      <w:r>
        <w:rPr/>
      </w:r>
      <w:r>
        <w:t xml:space="preserve">Whoever intentionally uses the seal of the State of Maine, or takes any impression therefrom, for any purpose, in any other place than the office of the Secretary of State at Augusta, or intentionally issues, or receives and acts under any commission, record, document, parchment, instrument or paper bearing the impression of the seal, knowing the same has not been sealed in the office of the Secretary of State at Augusta,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696,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Use of state seal in any place but office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Use of state seal in any place but office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§203. USE OF STATE SEAL IN ANY PLACE BUT OFFICE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