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w:t>
        <w:t xml:space="preserve">.  </w:t>
      </w:r>
      <w:r>
        <w:rPr>
          <w:b/>
        </w:rPr>
        <w:t xml:space="preserve">State vessel</w:t>
      </w:r>
    </w:p>
    <w:p>
      <w:pPr>
        <w:jc w:val="both"/>
        <w:spacing w:before="100" w:after="100"/>
        <w:ind w:start="360"/>
        <w:ind w:firstLine="360"/>
      </w:pPr>
      <w:r>
        <w:rPr/>
      </w:r>
      <w:r>
        <w:rPr/>
      </w:r>
      <w:r>
        <w:t xml:space="preserve">The schooner "Bowdoin" shall be the official state vessel.</w:t>
      </w:r>
      <w:r>
        <w:t xml:space="preserve">  </w:t>
      </w:r>
      <w:r xmlns:wp="http://schemas.openxmlformats.org/drawingml/2010/wordprocessingDrawing" xmlns:w15="http://schemas.microsoft.com/office/word/2012/wordml">
        <w:rPr>
          <w:rFonts w:ascii="Arial" w:hAnsi="Arial" w:cs="Arial"/>
          <w:sz w:val="22"/>
          <w:szCs w:val="22"/>
        </w:rPr>
        <w:t xml:space="preserve">[PL 1987, c. 703,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 State vessel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 State vessel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§218. STATE VESSEL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