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State soil</w:t>
      </w:r>
    </w:p>
    <w:p>
      <w:pPr>
        <w:jc w:val="both"/>
        <w:spacing w:before="100" w:after="100"/>
        <w:ind w:start="360"/>
        <w:ind w:firstLine="360"/>
      </w:pPr>
      <w:r>
        <w:rPr/>
      </w:r>
      <w:r>
        <w:rPr/>
      </w:r>
      <w:r>
        <w:t xml:space="preserve">The Chesuncook soil series, a coarse-loamy, mixed, frigid, Typic Haplorthod, is the official state soil.</w:t>
      </w:r>
      <w:r>
        <w:t xml:space="preserve">  </w:t>
      </w:r>
      <w:r xmlns:wp="http://schemas.openxmlformats.org/drawingml/2010/wordprocessingDrawing" xmlns:w15="http://schemas.microsoft.com/office/word/2012/wordml">
        <w:rPr>
          <w:rFonts w:ascii="Arial" w:hAnsi="Arial" w:cs="Arial"/>
          <w:sz w:val="22"/>
          <w:szCs w:val="22"/>
        </w:rPr>
        <w:t xml:space="preserve">[PL 1999,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 State soil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State soil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§222. STATE SOIL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