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Acts performed at emergency location are valid and binding</w:t>
      </w:r>
    </w:p>
    <w:p>
      <w:pPr>
        <w:jc w:val="both"/>
        <w:spacing w:before="100" w:after="100"/>
        <w:ind w:start="360"/>
        <w:ind w:firstLine="360"/>
      </w:pPr>
      <w:r>
        <w:rPr/>
      </w:r>
      <w:r>
        <w:rPr/>
      </w:r>
      <w:r>
        <w:t xml:space="preserve">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Legislature in regular, extraordinary or emergency session, shall be as valid and binding when performed at such emergency temporary location, or locations, as if performed at the normal location of the seat of government.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Acts performed at emergency location are valid and binding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Acts performed at emergency location are valid and binding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§712. ACTS PERFORMED AT EMERGENCY LOCATION ARE VALID AND BINDING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