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Natural Disaster Business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Natural Disaster Business Assistance Fund is established under the jurisdiction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shall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Subject to any pledge, contract or other obligation, any money which the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may apply money in the fund to carry out any power of the authority under this subchapter, including, without limitation, to make loans or to pledge or transfer and deposit money in the fund as security for, and to apply money in the fund in payment of principal of, interest and other amounts due on loans made or secured by the authority pursuant to this subchapter.  Money in the fund not needed currently to meet the obligations of the authority as provided for in this subchapter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funds into such separate accounts as it determines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6</w:t>
        <w:t xml:space="preserve">.  </w:t>
      </w:r>
      <w:r>
        <w:rPr>
          <w:b/>
        </w:rPr>
        <w:t xml:space="preserve">Commitment and administrative fees.</w:t>
        <w:t xml:space="preserve"> </w:t>
      </w:r>
      <w:r>
        <w:t xml:space="preserve"> </w:t>
      </w:r>
      <w:r>
        <w:t xml:space="preserve">The authority may fix commitment fees in an amount not to exceed 1% of the initial principal amount of a loan made or insured under this subchapter. These fees shall be deposited into the fund created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§1011. Natural Disaster Business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Natural Disaster Business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§1011. NATURAL DISASTER BUSINESS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