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Credit of State pledged</w:t>
      </w:r>
    </w:p>
    <w:p>
      <w:pPr>
        <w:jc w:val="both"/>
        <w:spacing w:before="100" w:after="100"/>
        <w:ind w:start="360"/>
        <w:ind w:firstLine="360"/>
      </w:pPr>
      <w:r>
        <w:rPr/>
      </w:r>
      <w:r>
        <w:rPr/>
      </w:r>
      <w:r>
        <w:t xml:space="preserve">The authority may insure the payment of mortgage loans, secured by eligible projects, and may insure or guaranty insured certificates, and to this end the faith and credit of the State is pledged, consistent with the terms and limitations of the Constitution of Maine, </w:t>
      </w:r>
      <w:r>
        <w:t>Article IX</w:t>
      </w:r>
      <w:r>
        <w:t xml:space="preserve">, Sections 14-A and 14-D and such further limitations as may be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§8 (AMD). PL 1985, c. 344, §41 (AMD). PL 1993, c. 460,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§1021.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§1021.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