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§1023-C. LOAN INSURANCE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