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authority may provide, at one time or from time to time, for the issuance of revenue obligation securities of the authority for the purposes authorized in this chapter. No revenue obligation securities of the authority may be issued until:</w:t>
      </w:r>
    </w:p>
    <w:p>
      <w:pPr>
        <w:jc w:val="both"/>
        <w:spacing w:before="100" w:after="0"/>
        <w:ind w:start="720"/>
      </w:pPr>
      <w:r>
        <w:rPr/>
        <w:t>A</w:t>
        <w:t xml:space="preserve">.  </w:t>
      </w:r>
      <w:r>
        <w:rPr/>
      </w:r>
      <w:r>
        <w:t xml:space="preserve">A certificate of approval, as provided in </w:t>
      </w:r>
      <w:r>
        <w:t>section 1043</w:t>
      </w:r>
      <w:r>
        <w:t xml:space="preserve">, has been issued; and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§64 (RP).]</w:t>
      </w:r>
    </w:p>
    <w:p>
      <w:pPr>
        <w:jc w:val="both"/>
        <w:spacing w:before="100" w:after="0"/>
        <w:ind w:start="720"/>
      </w:pPr>
      <w:r>
        <w:rPr/>
        <w:t>C</w:t>
        <w:t xml:space="preserve">.  </w:t>
      </w:r>
      <w:r>
        <w:rPr/>
      </w:r>
      <w:r>
        <w:t xml:space="preserve">A notice of the intent of the authority to issue the securities is published at least once in the state newspaper and in a newspaper of general circulation in the municipality in which the project is to be located:</w:t>
      </w:r>
    </w:p>
    <w:p>
      <w:pPr>
        <w:jc w:val="both"/>
        <w:spacing w:before="100" w:after="0"/>
        <w:ind w:start="1080"/>
      </w:pPr>
      <w:r>
        <w:rPr/>
        <w:t>(</w:t>
        <w:t>1</w:t>
        <w:t xml:space="preserve">)  </w:t>
      </w:r>
      <w:r>
        <w:rPr/>
      </w:r>
      <w:r>
        <w:t xml:space="preserve">No later than 14 full days after the date on which the certificate is issued;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petition to contest the issuance of the securities or to set aside or otherwise obtain relief on the grounds of invalidity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360"/>
      </w:pPr>
      <w:r>
        <w:rPr/>
      </w:r>
      <w:r>
        <w:rPr/>
      </w:r>
      <w:r>
        <w:t xml:space="preserve">Any action or proceeding in any court to contest the issuance of the securities, to set aside a certificate of approval or to obtain relief upon the grounds that the certificate of approval was improperly issued, was issued for unauthorized purposes, or is otherwise invalid for any reason, must be started within 30 days after the date of the publication required by </w:t>
      </w:r>
      <w:r>
        <w:t>paragraph C</w:t>
      </w:r>
      <w:r>
        <w:t xml:space="preserve"> and otherwise shall be governed by </w:t>
      </w:r>
      <w:r>
        <w:t>Title 5, chapter 375, subchapter VII</w:t>
      </w:r>
      <w:r>
        <w:t xml:space="preserve">.  Notwithstanding the provisions of </w:t>
      </w:r>
      <w:r>
        <w:t>section 969‑A, subsection 11</w:t>
      </w:r>
      <w:r>
        <w:t xml:space="preserve"> and </w:t>
      </w:r>
      <w:r>
        <w:t>Title 5, chapter 375, subchapter VII</w:t>
      </w:r>
      <w:r>
        <w:t xml:space="preserve">, including, but not limited to, </w:t>
      </w:r>
      <w:r>
        <w:t>Title 5, sections 11002</w:t>
      </w:r>
      <w:r>
        <w:t xml:space="preserve"> and </w:t>
      </w:r>
      <w:r>
        <w:t>11003</w:t>
      </w:r>
      <w:r>
        <w:t xml:space="preserve">, any such action or proceeding must be commenced only by first serving the petition for review upon the authority, in hand, within that 30-day period. For the purposes of this subchapter and the Maine Administrative Procedure Act, </w:t>
      </w:r>
      <w:r>
        <w:t>Title 5, chapter 375</w:t>
      </w:r>
      <w:r>
        <w:t xml:space="preserve">, the later date of newspaper publication required by </w:t>
      </w:r>
      <w:r>
        <w:t>paragraph C</w:t>
      </w:r>
      <w:r>
        <w:t xml:space="preserve"> shall constitute the final agency action with respect to the certificate of approval and the issuance of the securities. After the expiration of the 30-day period of limitation, no right of action or defense founded upon the invalidity of the approval or contesting any provision or the issuance of the certificate of approval or the issuance of the securities may be started or asserted nor may the certificate of approval or the issuance of the securities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§2 (AMD).]</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authority, act as the authority's agent for the sale and delivery of revenue obligation securities and anticipatory notes. The Treasurer of State shall assist the authority in the preparation, issuance, negotiation and sale of the securities and notes and provide reasonable advice and management assistance. The authority may employ further counsel or assistants or act in its own behalf, provided that the sale and delivery of revenue obligation securities and anticipatory notes shall be carried out at the authority's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§65 (RP).]</w:t>
      </w:r>
    </w:p>
    <w:p>
      <w:pPr>
        <w:jc w:val="both"/>
        <w:spacing w:before="100" w:after="0"/>
        <w:ind w:start="360"/>
        <w:ind w:firstLine="360"/>
      </w:pPr>
      <w:r>
        <w:rPr>
          <w:b/>
        </w:rPr>
        <w:t>4</w:t>
        <w:t xml:space="preserve">.  </w:t>
      </w:r>
      <w:r>
        <w:rPr>
          <w:b/>
        </w:rPr>
        <w:t xml:space="preserve">Conclusive authorization.</w:t>
        <w:t xml:space="preserve"> </w:t>
      </w:r>
      <w:r>
        <w:t xml:space="preserve"> </w:t>
      </w:r>
      <w:r>
        <w:t xml:space="preserve">All revenue obligation securities of the authority shall be conclusively presumed to be fully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§66 (AMD).]</w:t>
      </w:r>
    </w:p>
    <w:p>
      <w:pPr>
        <w:jc w:val="both"/>
        <w:spacing w:before="100" w:after="0"/>
        <w:ind w:start="360"/>
        <w:ind w:firstLine="360"/>
      </w:pPr>
      <w:r>
        <w:rPr>
          <w:b/>
        </w:rPr>
        <w:t>5</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30 years from their date and shall bear interest at a rate or rates determined by the authority. At the option of the authority, the securities may be made redeemable before maturity at a price or prices and under terms and conditions fixed prior to their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Form.</w:t>
        <w:t xml:space="preserve"> </w:t>
      </w:r>
      <w:r>
        <w:t xml:space="preserve"> </w:t>
      </w:r>
      <w:r>
        <w:t xml:space="preserve">The authority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must be executed in the name of the authority by the manual or facsimile signature of the authorized official or officials. Any attached coupons must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authority may determine. Provision may be made for the registration of any coupon securities as to principal alone and as to both principal and interest and for the reconversion into coupon securities of any securities registered as to both principal and interest. In addition to this subsection, the authority may provide for transfer of registration of its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must be payable to the registered owner shown in the book entry or the registered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 (COR).]</w:t>
      </w:r>
    </w:p>
    <w:p>
      <w:pPr>
        <w:jc w:val="both"/>
        <w:spacing w:before="100" w:after="0"/>
        <w:ind w:start="360"/>
        <w:ind w:firstLine="360"/>
      </w:pPr>
      <w:r>
        <w:rPr>
          <w:b/>
        </w:rPr>
        <w:t>7</w:t>
        <w:t xml:space="preserve">.  </w:t>
      </w:r>
      <w:r>
        <w:rPr>
          <w:b/>
        </w:rPr>
        <w:t xml:space="preserve">Sale.</w:t>
        <w:t xml:space="preserve"> </w:t>
      </w:r>
      <w:r>
        <w:t xml:space="preserve"> </w:t>
      </w:r>
      <w:r>
        <w:t xml:space="preserve">The authority may sell the securities at a public or private sale, in a manner and at a price it determines is in the best interest of the authority. The authority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authority may sell its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authority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such other document and without again carrying out the procedures set forth in </w:t>
      </w:r>
      <w:r>
        <w:t>section 1043</w:t>
      </w:r>
      <w:r>
        <w:t xml:space="preserve">, the additional securities are deemed to be of the same issue and shall be entitled to payment from the same fund without preference or priority of the securities first issued for the same purpose. The authority may place limits or restrictions on the issuance of additional revenue obligation securities through the  securing trust agreement or other document. The authority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§68 (AMD).]</w:t>
      </w:r>
    </w:p>
    <w:p>
      <w:pPr>
        <w:jc w:val="both"/>
        <w:spacing w:before="100" w:after="0"/>
        <w:ind w:start="360"/>
        <w:ind w:firstLine="360"/>
      </w:pPr>
      <w:r>
        <w:rPr>
          <w:b/>
        </w:rPr>
        <w:t>9</w:t>
        <w:t xml:space="preserve">.  </w:t>
      </w:r>
      <w:r>
        <w:rPr>
          <w:b/>
        </w:rPr>
        <w:t xml:space="preserve">Credit not pledged.</w:t>
        <w:t xml:space="preserve"> </w:t>
      </w:r>
      <w:r>
        <w:t xml:space="preserve"> </w:t>
      </w:r>
      <w:r>
        <w:t xml:space="preserve">Except as provided in this subsection, securities issued under this subchapter do not constitute any debt or liability of the State or of any municipality therein or any political subdivision thereof,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revenue obligation securities and all such securities must contain on their face a statement to that effect. The issuance of securities under this subchapter does not directly or indirectly or contingently obligate the State or any municipality or political subdivision to levy or to pledge any form of taxation whatever therefor or to make any appropriation for their payment. Under </w:t>
      </w:r>
      <w:r>
        <w:t>subchapter 2</w:t>
      </w:r>
      <w:r>
        <w:t xml:space="preserve">, the authority may insure loans made with the proceeds of revenue obligation securities. To these ends, the faith and credit of the State may be pledged, under and consistent with the terms and limitations of the Constitution of Maine, Article IX, Section 14-A or 14-D, and such further limitations, if any, as may be provided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§49 (AMD); PL 2003, c. 537, §53 (AFF).]</w:t>
      </w:r>
    </w:p>
    <w:p>
      <w:pPr>
        <w:jc w:val="both"/>
        <w:spacing w:before="100" w:after="0"/>
        <w:ind w:start="360"/>
        <w:ind w:firstLine="360"/>
      </w:pPr>
      <w:r>
        <w:rPr>
          <w:b/>
        </w:rPr>
        <w:t>10</w:t>
        <w:t xml:space="preserve">.  </w:t>
      </w:r>
      <w:r>
        <w:rPr>
          <w:b/>
        </w:rPr>
        <w:t xml:space="preserve">Anticipatory borrowing.</w:t>
        <w:t xml:space="preserve"> </w:t>
      </w:r>
      <w:r>
        <w:t xml:space="preserve"> </w:t>
      </w:r>
      <w:r>
        <w:t xml:space="preserve">In anticipation of the sale of securities under this subchapter, the authority may issue temporary notes and renewal notes, the total face amount of which does not exceed at any one time outstanding the authorized amount of the securities. The period of such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§70 (AMD).]</w:t>
      </w:r>
    </w:p>
    <w:p>
      <w:pPr>
        <w:jc w:val="both"/>
        <w:spacing w:before="100" w:after="0"/>
        <w:ind w:start="360"/>
        <w:ind w:firstLine="360"/>
      </w:pPr>
      <w:r>
        <w:rPr>
          <w:b/>
        </w:rPr>
        <w:t>11</w:t>
        <w:t xml:space="preserve">.  </w:t>
      </w:r>
      <w:r>
        <w:rPr>
          <w:b/>
        </w:rPr>
        <w:t xml:space="preserve">Environmental protection.</w:t>
        <w:t xml:space="preserve"> </w:t>
      </w:r>
      <w:r>
        <w:t xml:space="preserve"> </w:t>
      </w:r>
      <w:r>
        <w:t xml:space="preserve">For all revenue obligation securities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§50 (RPR); PL 2003, c. 537, §53 (AFF).]</w:t>
      </w:r>
    </w:p>
    <w:p>
      <w:pPr>
        <w:jc w:val="both"/>
        <w:spacing w:before="100" w:after="100"/>
        <w:ind w:start="360"/>
        <w:ind w:firstLine="360"/>
      </w:pPr>
      <w:r>
        <w:rPr>
          <w:b/>
        </w:rPr>
        <w:t>12</w:t>
        <w:t xml:space="preserve">.  </w:t>
      </w:r>
      <w:r>
        <w:rPr>
          <w:b/>
        </w:rPr>
        <w:t xml:space="preserve">Energy facilities.</w:t>
        <w:t xml:space="preserve"> </w:t>
      </w:r>
      <w:r>
        <w:t xml:space="preserve"> </w:t>
      </w:r>
      <w:r>
        <w:t xml:space="preserve">In the case of an energy generating system, an energy distribution system or an industrial-commercial project, any of which includes hydroelectric facilities:</w:t>
      </w:r>
    </w:p>
    <w:p>
      <w:pPr>
        <w:jc w:val="both"/>
        <w:spacing w:before="100" w:after="0"/>
        <w:ind w:start="720"/>
      </w:pPr>
      <w:r>
        <w:rPr/>
        <w:t>A</w:t>
        <w:t xml:space="preserve">.  </w:t>
      </w:r>
      <w:r>
        <w:rPr/>
      </w:r>
      <w:r>
        <w:t xml:space="preserve">Revenue obligation securities of the authority shall not be issued until the Public Utilities Commission has certified that all licenses required by that commission with respect to the project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w:pPr>
        <w:jc w:val="both"/>
        <w:spacing w:before="100" w:after="0"/>
        <w:ind w:start="720"/>
      </w:pPr>
      <w:r>
        <w:rPr/>
        <w:t>B</w:t>
        <w:t xml:space="preserve">.  </w:t>
      </w:r>
      <w:r>
        <w:rPr/>
      </w:r>
      <w:r>
        <w:t xml:space="preserve">Revenue obligation securities of the authority may not be issued until the Director of Energy Resources has reviewed and commented upon the project proposal. The director shall make comments within 30 days after receipt of a notification and copy of the project proposal from the authority. The authority shall take the comments into consideration in its processing of the project.</w:t>
      </w:r>
      <w:r>
        <w:t xml:space="preserve">  </w:t>
      </w:r>
      <w:r xmlns:wp="http://schemas.openxmlformats.org/drawingml/2010/wordprocessingDrawing" xmlns:w15="http://schemas.microsoft.com/office/word/2012/wordml">
        <w:rPr>
          <w:rFonts w:ascii="Arial" w:hAnsi="Arial" w:cs="Arial"/>
          <w:sz w:val="22"/>
          <w:szCs w:val="22"/>
        </w:rPr>
        <w:t xml:space="preserve">[RR 2023, c. 2, Pt. C,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 (COR).]</w:t>
      </w:r>
    </w:p>
    <w:p>
      <w:pPr>
        <w:jc w:val="both"/>
        <w:spacing w:before="100" w:after="0"/>
        <w:ind w:start="360"/>
        <w:ind w:firstLine="360"/>
      </w:pPr>
      <w:r>
        <w:rPr>
          <w:b/>
        </w:rPr>
        <w:t>13</w:t>
        <w:t xml:space="preserve">.  </w:t>
      </w:r>
      <w:r>
        <w:rPr>
          <w:b/>
        </w:rPr>
        <w:t xml:space="preserve">Limitation.</w:t>
        <w:t xml:space="preserve"> </w:t>
      </w:r>
      <w:r>
        <w:t xml:space="preserve"> </w:t>
      </w:r>
      <w:r>
        <w:t xml:space="preserve">The authority may not issue revenue obligation securities for energy distribution system projects or energy generating system projects unless the authority issued a certificate of approval for the energy distribution system project or energy generating system project before January 1, 2020.  Notwithstanding this subsection, revenue refunding securities may be issued to refund any outstanding revenue obligation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§§65,66 (AMD). PL 1983, c. 519, §15 (AMD). PL 1985, c. 344, §§64-71 (AMD). PL 1985, c. 714, §§30-32 (AMD). PL 1989, c. 765, §2 (AMD). PL 2003, c. 537, §§49,50 (AMD). PL 2003, c. 537, §53 (AFF). PL 2011, c. 586, §4 (AMD). PL 2015, c. 504, §4 (AMD). RR 2023, c. 2, Pt. C, §§9,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§1044.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