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1074-C</w:t>
        <w:t xml:space="preserve">.  </w:t>
      </w:r>
      <w:r>
        <w:rPr>
          <w:b/>
        </w:rPr>
        <w:t xml:space="preserve">Allocation of certain national bond limitations</w:t>
      </w:r>
    </w:p>
    <w:p>
      <w:pPr>
        <w:jc w:val="both"/>
        <w:spacing w:before="100" w:after="100"/>
        <w:ind w:start="360"/>
        <w:ind w:firstLine="360"/>
      </w:pPr>
      <w:r>
        <w:rPr/>
      </w:r>
      <w:r>
        <w:rPr/>
      </w:r>
      <w:r>
        <w:t xml:space="preserve">To the extent permitted by federal law, the Governor may establish by executive order a procedure for the reallocation of any allocation of a portion of a national bond limitation to the State or to any issuer or governmental entity within the State pursuant to 26 United States Code, Sections 54D, 54E, 54F and 1400U-1 and for the reallocation of any portion of a national bond limitation that is not used within the applicable time period specified in federal law or that has been waived by an issuer or governmental entity within the State, except that allocation of the national recovery zone facility bond limitation established pursuant to 26 United States Code, </w:t>
      </w:r>
      <w:r>
        <w:t>Section 1400U‑1</w:t>
      </w:r>
      <w:r>
        <w:t xml:space="preserve">, as amended, and as described in Internal Revenue Service Notice 2009-50, </w:t>
      </w:r>
      <w:r>
        <w:t>Section 6</w:t>
      </w:r>
      <w:r>
        <w:t xml:space="preserve">.03, must be carried out pursuant to </w:t>
      </w:r>
      <w:r>
        <w:t>section 1074‑A</w:t>
      </w:r>
      <w:r>
        <w:t xml:space="preserve">, and the allocation of the national qualified energy conservation bond volume limitation established pursuant to 26 United States Code, </w:t>
      </w:r>
      <w:r>
        <w:t>Section 54D</w:t>
      </w:r>
      <w:r>
        <w:t xml:space="preserve">, as amended, and as described in Internal Revenue Service Notice 2009-29, </w:t>
      </w:r>
      <w:r>
        <w:t>Section 4</w:t>
      </w:r>
      <w:r>
        <w:t xml:space="preserve"> must be carried out pursuant to </w:t>
      </w:r>
      <w:r>
        <w:t>section 1074‑B</w:t>
      </w:r>
      <w:r>
        <w:t xml:space="preserve"> and </w:t>
      </w:r>
      <w:r>
        <w:t>Title 30‑A, section 5953‑F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517,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§1074-C. Allocation of certain national bond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§1074-C. Allocation of certain national bond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§1074-C. ALLOCATION OF CERTAIN NATIONAL BOND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