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1176-A</w:t>
        <w:t xml:space="preserve">.  </w:t>
      </w:r>
      <w:r>
        <w:rPr>
          <w:b/>
        </w:rPr>
        <w:t xml:space="preserve">Audits</w:t>
      </w:r>
    </w:p>
    <w:p>
      <w:pPr>
        <w:jc w:val="both"/>
        <w:spacing w:before="100" w:after="100"/>
        <w:ind w:start="360"/>
        <w:ind w:firstLine="360"/>
      </w:pPr>
      <w:r>
        <w:rPr/>
      </w:r>
      <w:r>
        <w:rPr/>
      </w:r>
      <w:r>
        <w:t xml:space="preserve">A manufacturer may reasonably and periodically audit a new motor vehicle dealer to determine the validity of paid claims or any charge-backs for customer or dealer incentives.  Audits of incentive payments may be only for the 12-month period immediately preceding the date notifying the dealer that an audit is to be conducted.</w:t>
      </w:r>
      <w:r>
        <w:t xml:space="preserve">  </w:t>
      </w:r>
      <w:r xmlns:wp="http://schemas.openxmlformats.org/drawingml/2010/wordprocessingDrawing" xmlns:w15="http://schemas.microsoft.com/office/word/2012/wordml">
        <w:rPr>
          <w:rFonts w:ascii="Arial" w:hAnsi="Arial" w:cs="Arial"/>
          <w:sz w:val="22"/>
          <w:szCs w:val="22"/>
        </w:rPr>
        <w:t xml:space="preserve">[PL 2013, c. 534, §8 (AMD).]</w:t>
      </w:r>
    </w:p>
    <w:p>
      <w:pPr>
        <w:jc w:val="both"/>
        <w:spacing w:before="100" w:after="100"/>
        <w:ind w:start="360"/>
        <w:ind w:firstLine="360"/>
      </w:pPr>
      <w:r>
        <w:rPr/>
      </w:r>
      <w:r>
        <w:rPr/>
      </w:r>
      <w:r>
        <w:t xml:space="preserve">A franchisor may not deny those elements of a paid claim or customer or dealer incentive that are based on a dealer's incidental failure to comply with a claim requirement or a clerical error or other technicality, regardless of whether the franchisor contests any other element of that claim, as long as the dealer corrects the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2017, c. 217,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§26 (NEW). PL 2013, c. 534, §8 (AMD). PL 2017, c. 217,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§1176-A.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§1176-A.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§1176-A.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