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1193</w:t>
        <w:t xml:space="preserve">.  </w:t>
      </w:r>
      <w:r>
        <w:rPr>
          <w:b/>
        </w:rPr>
        <w:t xml:space="preserve">Violations</w:t>
      </w:r>
    </w:p>
    <w:p>
      <w:pPr>
        <w:jc w:val="both"/>
        <w:spacing w:before="100" w:after="0"/>
        <w:ind w:start="360"/>
        <w:ind w:firstLine="360"/>
      </w:pPr>
      <w:r>
        <w:rPr>
          <w:b/>
        </w:rPr>
        <w:t>1</w:t>
        <w:t xml:space="preserve">.  </w:t>
      </w:r>
      <w:r>
        <w:rPr>
          <w:b/>
        </w:rPr>
        <w:t xml:space="preserve">Unfair trade practice.</w:t>
        <w:t xml:space="preserve"> </w:t>
      </w:r>
      <w:r>
        <w:t xml:space="preserve"> </w:t>
      </w:r>
      <w:r>
        <w:t xml:space="preserve">Any violation of this chapter shall constitute prima facie evidence of a violation of </w:t>
      </w:r>
      <w:r>
        <w:t>Title 5, chapter 10</w:t>
      </w:r>
      <w:r>
        <w:t xml:space="preserve">,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