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Bill in equity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 person damaged or who is threatened with loss or injury by reason of a violation or threatened violation of this chapter may bring a civil action in the Superior Court in the county where the person resides to prevent, restrain or enjoin the violation or threatened violation. If in such an action a violation or threatened violation of this chapter is established, the court may enjoin and restrain or otherwise prohibit the violation or threatened violation. In such an action, it is not necessary that actual damages to the plaintiff be alleged or proved. In addition to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injunctive relief is not sought or required, a person injured by a violation of this chapter may maintain an action for damages alone in the Superior Court in the county where the person resides and the measure of damages in that action is the same as prescribed in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§19 (COR).]</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§1205. BILL IN EQUITY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