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Uniformity of interpretation</w:t>
      </w:r>
    </w:p>
    <w:p>
      <w:pPr>
        <w:jc w:val="both"/>
        <w:spacing w:before="100" w:after="100"/>
        <w:ind w:start="360"/>
        <w:ind w:firstLine="360"/>
      </w:pPr>
      <w:r>
        <w:rPr/>
      </w:r>
      <w:r>
        <w:rPr/>
      </w:r>
      <w:r>
        <w:t xml:space="preserve">This chapter shall be construed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§1215.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