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1342</w:t>
        <w:t xml:space="preserve">.  </w:t>
      </w:r>
      <w:r>
        <w:rPr>
          <w:b/>
        </w:rPr>
        <w:t xml:space="preserve">Notice of termination</w:t>
      </w:r>
    </w:p>
    <w:p>
      <w:pPr>
        <w:jc w:val="both"/>
        <w:spacing w:before="100" w:after="100"/>
        <w:ind w:start="360"/>
        <w:ind w:firstLine="360"/>
      </w:pPr>
      <w:r>
        <w:rPr/>
      </w:r>
      <w:r>
        <w:rPr/>
      </w:r>
      <w:r>
        <w:t xml:space="preserve">Unless a contract between a sales representative and a principal provides otherwise, a party terminating the contract must give the other party 14 days' written notice of the termination.</w:t>
      </w:r>
      <w:r>
        <w:t xml:space="preserve">  </w:t>
      </w:r>
      <w:r xmlns:wp="http://schemas.openxmlformats.org/drawingml/2010/wordprocessingDrawing" xmlns:w15="http://schemas.microsoft.com/office/word/2012/wordml">
        <w:rPr>
          <w:rFonts w:ascii="Arial" w:hAnsi="Arial" w:cs="Arial"/>
          <w:sz w:val="22"/>
          <w:szCs w:val="22"/>
        </w:rPr>
        <w:t xml:space="preserve">[PL 1991, c. 296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§1342. Notice of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§1342. Notice of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§1342. NOTICE OF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