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 Duties of exchange facilitators;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Duties of exchange facilitators;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§1398. DUTIES OF EXCHANGE FACILITATORS;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