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Scope</w:t>
      </w:r>
    </w:p>
    <w:p>
      <w:pPr>
        <w:jc w:val="both"/>
        <w:spacing w:before="100" w:after="100"/>
        <w:ind w:start="360"/>
        <w:ind w:firstLine="360"/>
      </w:pPr>
      <w:r>
        <w:rPr/>
      </w:r>
      <w:r>
        <w:rPr/>
      </w:r>
      <w:r>
        <w:t xml:space="preserve">All new manufactured homes sold by a dealer are covered by the warranties established by this chapter.</w:t>
      </w:r>
      <w:r>
        <w:t xml:space="preserve">  </w:t>
      </w:r>
      <w:r xmlns:wp="http://schemas.openxmlformats.org/drawingml/2010/wordprocessingDrawing" xmlns:w15="http://schemas.microsoft.com/office/word/2012/wordml">
        <w:rPr>
          <w:rFonts w:ascii="Arial" w:hAnsi="Arial" w:cs="Arial"/>
          <w:sz w:val="22"/>
          <w:szCs w:val="22"/>
        </w:rPr>
        <w:t xml:space="preserve">[PL 1993, c. 642,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435 (NEW). PL 1973, c. 788, §42 (AMD). PL 1989, c. 805, §1 (RPR). PL 1993, c. 642,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§1401.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§1401.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