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Title</w:t>
      </w:r>
    </w:p>
    <w:p>
      <w:pPr>
        <w:jc w:val="both"/>
        <w:spacing w:before="100" w:after="100"/>
        <w:ind w:start="360"/>
        <w:ind w:firstLine="360"/>
      </w:pPr>
      <w:r>
        <w:rPr/>
      </w:r>
      <w:r>
        <w:rPr/>
      </w:r>
      <w:r>
        <w:t xml:space="preserve">This chapter shall be known as the "Energy Efficiency Building Performance Standards Act."</w:t>
      </w:r>
      <w:r>
        <w:t xml:space="preserve">  </w:t>
      </w:r>
      <w:r xmlns:wp="http://schemas.openxmlformats.org/drawingml/2010/wordprocessingDrawing" xmlns:w15="http://schemas.microsoft.com/office/word/2012/wordml">
        <w:rPr>
          <w:rFonts w:ascii="Arial" w:hAnsi="Arial" w:cs="Arial"/>
          <w:sz w:val="22"/>
          <w:szCs w:val="22"/>
        </w:rPr>
        <w:t xml:space="preserve">[PL 1979, c. 503,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