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Legal and equitable remedies</w:t>
      </w:r>
    </w:p>
    <w:p>
      <w:pPr>
        <w:jc w:val="both"/>
        <w:spacing w:before="100" w:after="0"/>
        <w:ind w:start="360"/>
        <w:ind w:firstLine="360"/>
      </w:pPr>
      <w:r>
        <w:rPr>
          <w:b/>
        </w:rPr>
        <w:t>1</w:t>
        <w:t xml:space="preserve">.  </w:t>
      </w:r>
      <w:r>
        <w:rPr>
          <w:b/>
        </w:rPr>
        <w:t xml:space="preserve">Suit.</w:t>
        <w:t xml:space="preserve"> </w:t>
      </w:r>
      <w:r>
        <w:t xml:space="preserve"> </w:t>
      </w:r>
      <w:r>
        <w:t xml:space="preserve">If a franchisor or distributor engages in conduct prohibited under this chapter, a franchisee or a distributor may maintain a suit against such franchisor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grant such equitable relief as is necessary to remedy the effects of conduct prohibited under this chapter that the court finds to exist, including declaratory judgment and mandatory or prohibitive injunctive relief. The court may grant interim equitable relief, and actual and punitive damages when indicated, in suits under this chapter and may direct that costs, reasonable attorney's and expert witness fees incurred by the franchisee in those portions of the action in which the franchisee is the prevailing party be paid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2013, c. 219,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§1456. Legal and equitable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Legal and equitable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§1456. LEGAL AND EQUITABLE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