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1490</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chapter shall constitute prima facie evidence of a violation of the Unfair Trade Practices Act,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2</w:t>
        <w:t xml:space="preserve">.  </w:t>
      </w:r>
      <w:r>
        <w:rPr>
          <w:b/>
        </w:rPr>
        <w:t xml:space="preserve">Civil penalty.</w:t>
        <w:t xml:space="preserve"> </w:t>
      </w:r>
      <w:r>
        <w:t xml:space="preserve"> </w:t>
      </w:r>
      <w:r>
        <w:t xml:space="preserve">Each violation of this chapter constitutes a civil violation for which a forfeiture of not less than $100 nor more than $1,000 may be adjudged.  No action may be brought for a civil violation under this subsection more than 2 years after the date of the occurrence of the violation.  No home construction contractor may be held liable for a civil violation under this subsection if the contractor shows by a preponderance of the evidence that the violation was unintentional and a bona fide error, notwithstanding the maintenance of procedures reasonably adopted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