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Attested copy</w:t>
      </w:r>
    </w:p>
    <w:p>
      <w:pPr>
        <w:jc w:val="both"/>
        <w:spacing w:before="100" w:after="100"/>
        <w:ind w:start="360"/>
        <w:ind w:firstLine="360"/>
      </w:pPr>
      <w:r>
        <w:rPr/>
      </w:r>
      <w:r>
        <w:rPr/>
      </w:r>
      <w:r>
        <w:t xml:space="preserve">Upon compliance by the applicant with the requirements of this chapter, the Secretary of State shall promptly make a copy of the original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w:pPr>
        <w:jc w:val="both"/>
        <w:spacing w:before="100" w:after="100"/>
        <w:ind w:start="360"/>
        <w:ind w:firstLine="360"/>
      </w:pPr>
      <w:r>
        <w:rPr/>
      </w:r>
      <w:r>
        <w:rPr/>
      </w:r>
      <w:r>
        <w:t xml:space="preserve">An attested copy issued by the Secretary of State under this section or a copy duly certified by the Secretary of State is admissible in evidence as competent and sufficient proof of the registration of the mark in any action or judicial proceedings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1997, c. 376,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§1523. Attested copy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Attested copy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§1523. ATTESTED COPY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