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Powers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§1527-A. POWERS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