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Injunctive relief</w:t>
      </w:r>
    </w:p>
    <w:p>
      <w:pPr>
        <w:jc w:val="both"/>
        <w:spacing w:before="100" w:after="0"/>
        <w:ind w:start="360"/>
        <w:ind w:firstLine="360"/>
      </w:pPr>
      <w:r>
        <w:rPr>
          <w:b/>
        </w:rPr>
        <w:t>1</w:t>
        <w:t xml:space="preserve">.  </w:t>
      </w:r>
      <w:r>
        <w:rPr>
          <w:b/>
        </w:rPr>
        <w:t xml:space="preserve">Misappropriation restrained or enjoined.</w:t>
        <w:t xml:space="preserve"> </w:t>
      </w:r>
      <w:r>
        <w:t xml:space="preserve"> </w:t>
      </w:r>
      <w:r>
        <w:t xml:space="preserve">Actual or threatened misappropriation may be restrained or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Exceptional circumstances.</w:t>
        <w:t xml:space="preserve"> </w:t>
      </w:r>
      <w:r>
        <w:t xml:space="preserve"> </w:t>
      </w:r>
      <w:r>
        <w:t xml:space="preserve">In exceptional circumstances, an injunction may condition future use upon payment of a reasonable royalty for no longer than the period of time for which use could have been prohibited.</w:t>
      </w:r>
    </w:p>
    <w:p>
      <w:pPr>
        <w:jc w:val="both"/>
        <w:spacing w:before="100" w:after="0"/>
        <w:ind w:start="720"/>
      </w:pPr>
      <w:r>
        <w:rPr/>
        <w:t>A</w:t>
        <w:t xml:space="preserve">.  </w:t>
      </w:r>
      <w:r>
        <w:rPr/>
      </w:r>
      <w:r>
        <w:t xml:space="preserve">Exceptional circumstances include, but are not limited to, a material and prejudicial change of position prior to acquiring knowledge or reason to know of misappropriation that renders a prohibitive injunction inequitable.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Protection of trade secret compelled.</w:t>
        <w:t xml:space="preserve"> </w:t>
      </w:r>
      <w:r>
        <w:t xml:space="preserve"> </w:t>
      </w:r>
      <w:r>
        <w:t xml:space="preserve">In appropriate circumstances, affirmative acts to protect a trade secret may be compelled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forms of injunctive relief, including temporary restraining orders, preliminary injunctions and permanent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§1543.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