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A. Marking and filling containers owned by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Marking and filling containers owned by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8-A. MARKING AND FILLING CONTAINERS OWNED BY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