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§1679. Penalties and injunctive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Penalties and injunctive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§1679. PENALTIES AND INJUNCTIVE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