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§2362-A. Fuel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Fuel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§2362-A. FUEL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