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Malfeasance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§2505. MALFEASANCE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