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1977, c. 694, §182 (RPR); 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§2506.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