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Copies preserved and available</w:t>
      </w:r>
    </w:p>
    <w:p>
      <w:pPr>
        <w:jc w:val="both"/>
        <w:spacing w:before="100" w:after="100"/>
        <w:ind w:start="360"/>
        <w:ind w:firstLine="360"/>
      </w:pPr>
      <w:r>
        <w:rPr/>
      </w:r>
      <w:r>
        <w:rPr/>
      </w:r>
      <w:r>
        <w:t xml:space="preserve">A licensed public weighmaster shall keep and preserve for at least one year, or for a longer period as may be specified in the regulations authorized to be issued for the enforcement of this chapter, a legible carbon copy of each weight certificate issued by that public weighmaster. The copies must be open at all reasonable times for inspection by the state sealer or a sealer.</w:t>
      </w:r>
      <w:r>
        <w:t xml:space="preserve">  </w:t>
      </w:r>
      <w:r xmlns:wp="http://schemas.openxmlformats.org/drawingml/2010/wordprocessingDrawing" xmlns:w15="http://schemas.microsoft.com/office/word/2012/wordml">
        <w:rPr>
          <w:rFonts w:ascii="Arial" w:hAnsi="Arial" w:cs="Arial"/>
          <w:sz w:val="22"/>
          <w:szCs w:val="22"/>
        </w:rPr>
        <w:t xml:space="preserve">[RR 2023, c. 2, Pt. C,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Copies preserved and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Copies preserved and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§2553. COPIES PRESERVED AND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