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3329</w:t>
        <w:t xml:space="preserve">.  </w:t>
      </w:r>
      <w:r>
        <w:rPr>
          <w:b/>
        </w:rPr>
        <w:t xml:space="preserve">Insufficient security</w:t>
      </w:r>
    </w:p>
    <w:p>
      <w:pPr>
        <w:jc w:val="both"/>
        <w:spacing w:before="100" w:after="100"/>
        <w:ind w:start="360"/>
        <w:ind w:firstLine="360"/>
      </w:pPr>
      <w:r>
        <w:rPr/>
      </w:r>
      <w:r>
        <w:rPr/>
      </w:r>
      <w:r>
        <w:t xml:space="preserve">If in a court proceeding to foreclose such lien it is found and determined by the court that there is no cash, bond or other deposit as security for the payment of any of the lien claims as set out in the complaint, the judgment of foreclosure shall be against a sufficient quantity in value of such farm product or processed product in the possession or under the control of the defendant processor, as may be necessary to satisfy such claim or render judgment and declare forfeited any bond which is deposited in the court by such processor to secure the lawful claims of the plaintiff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§3329. Insufficient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§3329. Insufficient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§3329. INSUFFICIENT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