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A person who furnishes labor or materials for building a vessel has a lien on it for the labor and materials, which may be enforced by attachment of the vessel within 4 days after it is launched, but if the labor and materials have been so furnished by virtue of a contract not fully completed at the time of the launching of the vessel, the lien may be enforced within 4 days after the contract has been completed.  The person has a lien on the materials furnished before they become part of the vessel, which may be enforced by attachment.  The owners of a dry dock or marine railway used for a vessel have a lien on the vessel for the use of the dock or railway, to be enforced by attachment within 4 days after the last day in which the dock or railway is used or occupied by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Labor and materials; owners of dry docks or marine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§3852. LABOR AND MATERIALS; OWNERS OF DRY DOCKS OR MARINE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