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Apportionment of costs</w:t>
      </w:r>
    </w:p>
    <w:p>
      <w:pPr>
        <w:jc w:val="both"/>
        <w:spacing w:before="100" w:after="100"/>
        <w:ind w:start="360"/>
        <w:ind w:firstLine="360"/>
      </w:pPr>
      <w:r>
        <w:rPr/>
      </w:r>
      <w:r>
        <w:rPr/>
      </w:r>
      <w:r>
        <w:t xml:space="preserve">The court, except as provided in </w:t>
      </w:r>
      <w:r>
        <w:t>section 3859</w:t>
      </w:r>
      <w:r>
        <w:t xml:space="preserve">, may decide all questions of costs and apportion them as they think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§3860.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§3860.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