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Automatic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§3951. AUTOMATIC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