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Priority</w:t>
      </w:r>
    </w:p>
    <w:p>
      <w:pPr>
        <w:jc w:val="both"/>
        <w:spacing w:before="100" w:after="100"/>
        <w:ind w:start="360"/>
        <w:ind w:firstLine="360"/>
      </w:pPr>
      <w:r>
        <w:rPr/>
      </w:r>
      <w:r>
        <w:rPr/>
      </w:r>
      <w:r>
        <w:t xml:space="preserve">A security interest perfected in accordance with </w:t>
      </w:r>
      <w:r>
        <w:t>Title 11</w:t>
      </w:r>
      <w:r>
        <w:t xml:space="preserve"> has priority over any lien created or referred to by this Title unless the person claiming the lien has possession of the goods subject to the lien.</w:t>
      </w:r>
      <w:r>
        <w:t xml:space="preserve">  </w:t>
      </w:r>
      <w:r xmlns:wp="http://schemas.openxmlformats.org/drawingml/2010/wordprocessingDrawing" xmlns:w15="http://schemas.microsoft.com/office/word/2012/wordml">
        <w:rPr>
          <w:rFonts w:ascii="Arial" w:hAnsi="Arial" w:cs="Arial"/>
          <w:sz w:val="22"/>
          <w:szCs w:val="22"/>
        </w:rPr>
        <w:t xml:space="preserve">[PL 1965,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§4012.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§4012.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