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§8003-B. CONFIDENTIALITY OF INVESTIGATIVE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