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§9003. MANUFACTURED HOUSING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