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2. Retention of electronic records; origi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Retention of electronic records; origi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2. RETENTION OF ELECTRONIC RECORDS; ORIGI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