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988-A</w:t>
        <w:t xml:space="preserve">.  </w:t>
      </w:r>
      <w:r>
        <w:rPr>
          <w:b/>
        </w:rPr>
        <w:t xml:space="preserve">Natural Resources Capital Investment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Natural Resources Capital Investment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shall be paid into the fund the following:</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Subject to any pledge, contract or other obligation, any money which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or in connection with </w:t>
      </w:r>
      <w:r>
        <w:t>section 988‑B</w:t>
      </w:r>
      <w:r>
        <w:t xml:space="preserve">, including, without limitation, to pledge or transfer and deposit money in the fund as security for and to apply money in the fund in payment of principal, interest, dividends and other amounts due on secured loans or equity interests.  Money in the fund may be used for direct loans in connection with a project eligible under </w:t>
      </w:r>
      <w:r>
        <w:t>section 988‑B</w:t>
      </w:r>
      <w:r>
        <w:t xml:space="preserve">.  The authority, pursuant to the Maine Administrative Procedure Act, </w:t>
      </w:r>
      <w:r>
        <w:t>Title 5, chapter 375, subchapter II</w:t>
      </w:r>
      <w:r>
        <w:t xml:space="preserve">, shall adopt rules for determining eligibility, feasibility, terms, conditions and security for direct loans or secured loans or investments.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 and </w:t>
      </w:r>
      <w:r>
        <w:t>section 988‑B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§988-A. Natural Resources Capital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§988-A. Natural Resources Capital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§988-A. NATURAL RESOURCES CAPITAL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