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1-1205</w:t>
        <w:t xml:space="preserve">.  </w:t>
      </w:r>
      <w:r>
        <w:rPr>
          <w:b/>
        </w:rPr>
        <w:t xml:space="preserve">Reasonable time; seasonableness</w:t>
      </w:r>
    </w:p>
    <w:p>
      <w:pPr>
        <w:jc w:val="both"/>
        <w:spacing w:before="100" w:after="0"/>
        <w:ind w:start="360"/>
        <w:ind w:firstLine="360"/>
      </w:pPr>
      <w:r>
        <w:rPr>
          <w:b/>
        </w:rPr>
        <w:t>(1)</w:t>
        <w:t xml:space="preserve">.  </w:t>
      </w:r>
      <w:r>
        <w:rPr>
          <w:b/>
        </w:rPr>
      </w:r>
      <w:r>
        <w:t xml:space="preserve"> </w:t>
      </w:r>
      <w:r>
        <w:t xml:space="preserve">Whether a time for taking an action required by the Uniform Commercial Code is reasonable depends on the nature, purpose and circumstances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 action is taken seasonably if it is taken at or within the time agreed or, if no time is agreed, at or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§1-1205. Reasonable time; seasonableness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§1-1205. Reasonable time; seasonableness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§1-1205. REASONABLE TIME; SEASONABLENESS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