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1-1302</w:t>
        <w:t xml:space="preserve">.  </w:t>
      </w:r>
      <w:r>
        <w:rPr>
          <w:b/>
        </w:rPr>
        <w:t xml:space="preserve">Variation by agreement</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or elsewhere in the Uniform Commercial Code, the effect of provisions of the Uniform Commercial Code may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The presence in certain provisions of the Uniform Commercial Code of the phrase “unless otherwise agreed,” or words of similar import, does not imply that the effect of other provisions may not be varied by agreement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§1-1302. Variation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§1-1302. Variation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§1-1302. VARIATION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