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12-106</w:t>
        <w:t xml:space="preserve">.  </w:t>
      </w:r>
      <w:r>
        <w:rPr>
          <w:b/>
        </w:rPr>
        <w:t xml:space="preserve">Discharge of account debtor on controllable account or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An account debtor on a controllable account or controllable payment intangible may discharge its obligation by paying:</w:t>
      </w:r>
    </w:p>
    <w:p>
      <w:pPr>
        <w:jc w:val="both"/>
        <w:spacing w:before="100" w:after="0"/>
        <w:ind w:start="720"/>
      </w:pPr>
      <w:r>
        <w:rPr/>
        <w:t>(a)</w:t>
        <w:t xml:space="preserve">.  </w:t>
      </w:r>
      <w:r>
        <w:rPr/>
      </w:r>
      <w:r>
        <w:t xml:space="preserve">The person having control of the controllable electronic record that evidences the controllable account or controllable payment intangible;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Except as provided in </w:t>
      </w:r>
      <w:r>
        <w:t>subsection (2)</w:t>
      </w:r>
      <w:r>
        <w:t xml:space="preserve">, a person that formerly had control of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(2)</w:t>
        <w:t xml:space="preserve">.  </w:t>
      </w:r>
      <w:r>
        <w:rPr>
          <w:b/>
        </w:rPr>
      </w:r>
      <w:r>
        <w:t xml:space="preserve"> </w:t>
      </w:r>
      <w:r>
        <w:t xml:space="preserve">Subject to </w:t>
      </w:r>
      <w:r>
        <w:t>subsection (4)</w:t>
      </w:r>
      <w:r>
        <w:t xml:space="preserve">, the account debtor may not discharge its obligation by paying a person that formerly had control of the controllable electronic record if the account debtor receives a notification that:</w:t>
      </w:r>
    </w:p>
    <w:p>
      <w:pPr>
        <w:jc w:val="both"/>
        <w:spacing w:before="100" w:after="0"/>
        <w:ind w:start="720"/>
      </w:pPr>
      <w:r>
        <w:rPr/>
        <w:t>(a)</w:t>
        <w:t xml:space="preserve">.  </w:t>
      </w:r>
      <w:r>
        <w:rPr/>
      </w:r>
      <w:r>
        <w:t xml:space="preserve">Is signed by a person that formerly had control or the person to which control was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Reasonably identifies the controllable account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Notifies the account debtor that control of the controllable electronic record that evidences the controllable account or controllable payment intangible was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Identifies the transferee, in any reasonable way, including by name, identifying number, cryptographic key, office or account number;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(e)</w:t>
        <w:t xml:space="preserve">.  </w:t>
      </w:r>
      <w:r>
        <w:rPr/>
      </w:r>
      <w:r>
        <w:t xml:space="preserve">Provides a commercially reasonable method by which the account debtor is to pay the transferee.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 xml:space="preserve">After receipt of a notification that complies with </w:t>
      </w:r>
      <w:r>
        <w:t>subsection (2)</w:t>
      </w:r>
      <w:r>
        <w:t xml:space="preserve">, the account debtor may discharge its obligation by paying in accordance with the notification and may not discharge the obligation by paying a person that formerly had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(4)</w:t>
        <w:t xml:space="preserve">.  </w:t>
      </w:r>
      <w:r>
        <w:rPr>
          <w:b/>
        </w:rPr>
      </w:r>
      <w:r>
        <w:t xml:space="preserve"> </w:t>
      </w:r>
      <w:r>
        <w:t xml:space="preserve">Subject to </w:t>
      </w:r>
      <w:r>
        <w:t>subsection (8)</w:t>
      </w:r>
      <w:r>
        <w:t xml:space="preserve">, notification is ineffective under </w:t>
      </w:r>
      <w:r>
        <w:t>subsection (2)</w:t>
      </w:r>
      <w:r>
        <w:t xml:space="preserve">:</w:t>
      </w:r>
    </w:p>
    <w:p>
      <w:pPr>
        <w:jc w:val="both"/>
        <w:spacing w:before="100" w:after="0"/>
        <w:ind w:start="720"/>
      </w:pPr>
      <w:r>
        <w:rPr/>
        <w:t>(a)</w:t>
        <w:t xml:space="preserve">.  </w:t>
      </w:r>
      <w:r>
        <w:rPr/>
      </w:r>
      <w:r>
        <w:t xml:space="preserve">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To the extent an agreement between the account debtor and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At the option of the account debtor, if the notification notifies the account debtor to:</w:t>
      </w:r>
    </w:p>
    <w:p>
      <w:pPr>
        <w:jc w:val="both"/>
        <w:spacing w:before="100" w:after="0"/>
        <w:ind w:start="1080"/>
      </w:pPr>
      <w:r>
        <w:rPr/>
        <w:t>(</w:t>
        <w:t>i</w:t>
        <w:t xml:space="preserve">)  </w:t>
      </w:r>
      <w:r>
        <w:rPr/>
      </w:r>
      <w:r>
        <w:t xml:space="preserve">Divide a payment;</w:t>
      </w:r>
    </w:p>
    <w:p>
      <w:pPr>
        <w:jc w:val="both"/>
        <w:spacing w:before="100" w:after="0"/>
        <w:ind w:start="1080"/>
      </w:pPr>
      <w:r>
        <w:rPr/>
        <w:t>(</w:t>
        <w:t>ii</w:t>
        <w:t xml:space="preserve">)  </w:t>
      </w:r>
      <w:r>
        <w:rPr/>
      </w:r>
      <w:r>
        <w:t xml:space="preserve">Make less than the full amount of an installment or other periodic payment; or</w:t>
      </w:r>
    </w:p>
    <w:p>
      <w:pPr>
        <w:jc w:val="both"/>
        <w:spacing w:before="100" w:after="0"/>
        <w:ind w:start="1080"/>
      </w:pPr>
      <w:r>
        <w:rPr/>
        <w:t>(</w:t>
        <w:t>iii</w:t>
        <w:t xml:space="preserve">)  </w:t>
      </w:r>
      <w:r>
        <w:rPr/>
      </w:r>
      <w:r>
        <w:t xml:space="preserve">Pay any part of a payment by more than one method or to more than one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Subject to </w:t>
      </w:r>
      <w:r>
        <w:t>subsection (8)</w:t>
      </w:r>
      <w:r>
        <w:t xml:space="preserve">, if requested by the account debtor, the person giving the notification under </w:t>
      </w:r>
      <w:r>
        <w:t>subsection (2)</w:t>
      </w:r>
      <w:r>
        <w:t xml:space="preserve"> seasonably shall furnish reasonable proof, using the method in the agreement referred to in </w:t>
      </w:r>
      <w:r>
        <w:t>subsection (4), paragraph (a)</w:t>
      </w:r>
      <w:r>
        <w:t xml:space="preserve">, that control of the controllable electronic record has been transferred. Unless the person complies with the request, the account debtor may discharge its obligation by paying a person that formerly had control, even if the account debtor has received a notification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(6)</w:t>
        <w:t xml:space="preserve">.  </w:t>
      </w:r>
      <w:r>
        <w:rPr>
          <w:b/>
        </w:rPr>
      </w:r>
      <w:r>
        <w:t xml:space="preserve"> </w:t>
      </w:r>
      <w:r>
        <w:t xml:space="preserve">A person furnishes reasonable proof under </w:t>
      </w:r>
      <w:r>
        <w:t>subsection (5)</w:t>
      </w:r>
      <w:r>
        <w:t xml:space="preserve"> that control has been transferred if the person demonstrates, using the method in the agreement referred to in </w:t>
      </w:r>
      <w:r>
        <w:t>subsection (4), paragraph (a)</w:t>
      </w:r>
      <w:r>
        <w:t xml:space="preserve">, that the transferee has the power to:</w:t>
      </w:r>
    </w:p>
    <w:p>
      <w:pPr>
        <w:jc w:val="both"/>
        <w:spacing w:before="100" w:after="0"/>
        <w:ind w:start="720"/>
      </w:pPr>
      <w:r>
        <w:rPr/>
        <w:t>(a)</w:t>
        <w:t xml:space="preserve">.  </w:t>
      </w:r>
      <w:r>
        <w:rPr/>
      </w:r>
      <w:r>
        <w:t xml:space="preserve">Avail itself of substantially all the benefit from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Prevent others from availing themselves of substantially all the benefit from the controllable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Transfer the powers specified in </w:t>
      </w:r>
      <w:r>
        <w:t>paragraphs (a)</w:t>
      </w:r>
      <w:r>
        <w:t xml:space="preserve"> and </w:t>
      </w:r>
      <w:r>
        <w:t>(b)</w:t>
      </w:r>
      <w:r>
        <w:t xml:space="preserve"> to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Subject to </w:t>
      </w:r>
      <w:r>
        <w:t>subsection (8)</w:t>
      </w:r>
      <w:r>
        <w:t xml:space="preserve">, an account debtor may not waive or vary its rights under </w:t>
      </w:r>
      <w:r>
        <w:t>subsection (4), paragraph (a)</w:t>
      </w:r>
      <w:r>
        <w:t xml:space="preserve"> and </w:t>
      </w:r>
      <w:r>
        <w:t>subsection (5)</w:t>
      </w:r>
      <w:r>
        <w:t xml:space="preserve"> or its option under </w:t>
      </w:r>
      <w:r>
        <w:t>subsection (4),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§12-106. Discharge of account debtor on controllable account or controllable payment intangible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§12-106. Discharge of account debtor on controllable account or controllable payment intangible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§12-106. DISCHARGE OF ACCOUNT DEBTOR ON CONTROLLABLE ACCOUNT OR CONTROLLABLE PAYMENT INTANGIBLE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