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§2-1310. Lessor's and lessee's rights when goods become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§2-1310. Lessor's and lessee's rights when goods become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§2-1310. LESSOR'S AND LESSEE'S RIGHTS WHEN GOODS BECOME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