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§2-1527. LESSOR'S RIGHTS TO DISPOSE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