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Buyer's right to goods on seller's repudiation, failure to deliver or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Buyer's right to goods on seller's repudiation, failure to deliver or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§2-502. BUYER'S RIGHT TO GOODS ON SELLER'S REPUDIATION, FAILURE TO DELIVER OR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